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bookmarkStart w:id="0" w:name="_Hlk54466636"/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>
      <w:pPr>
        <w:topLinePunct/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兰州大学本科毕业论文（设计）“文字</w:t>
      </w:r>
    </w:p>
    <w:p>
      <w:pPr>
        <w:topLinePunct/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复制比”检测及处理实施细则</w:t>
      </w:r>
      <w:bookmarkEnd w:id="0"/>
    </w:p>
    <w:bookmarkEnd w:id="2"/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  则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为维护学术道德和学术规范的严肃性，加强学术诚信教育和学风建设，营造学术诚信氛围，规范本科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毕业论文（设计）管理，防范和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毕业论文（设计）学术不端行为发生，特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制定本办法。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学校坚持加强对毕业论文</w:t>
      </w:r>
      <w:bookmarkStart w:id="1" w:name="_Hlk53823675"/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bookmarkEnd w:id="1"/>
      <w:r>
        <w:rPr>
          <w:rFonts w:hint="eastAsia" w:ascii="仿宋_GB2312" w:hAnsi="仿宋" w:eastAsia="仿宋_GB2312"/>
          <w:sz w:val="32"/>
          <w:szCs w:val="32"/>
          <w:lang w:val="zh-CN"/>
        </w:rPr>
        <w:t>进行“文字复制比”检测（以下简称“毕业论文检测”），严防学术不端，严肃处理学术不端行为。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本办法中“文字复制比”检测对象为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全日制本科专业人才培养方案要求的主修和辅修本科专业、学士学位的毕业论文（设计）、学位论文。</w:t>
      </w:r>
    </w:p>
    <w:p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学术不端行为按照兰州大学学位论文作假行为处理办法实施细则、本科生学籍管理办法等有关规定处理。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毕业论文（设计）检测标准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毕业论文检测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要求：</w:t>
      </w:r>
    </w:p>
    <w:p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  <w:lang w:val="zh-CN"/>
        </w:rPr>
        <w:t>（一）毕业论文（设计）检测分为答辩前检测和答辩后检测。</w:t>
      </w:r>
    </w:p>
    <w:p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检测内容主要为毕业论文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的主体部分，即删除毕业论文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的封面、诚信责任书、使用授权声明、参考文献、附录、致谢后的论文部分。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（三）提交检测的毕业论文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应为WORD或PDF格式文件，命名格式：学院名称_学号_作者姓名。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（四）学院须对检测的毕业论文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进行形式审查，为语句通顺、结构完整、格式规范的毕业论文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毕业论文检测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标准：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文字复制比例检测标准（以下简称“检测标准”）包括答辩前检测标准和答辩后检测标准。设定P和F两个数值作为检测的判断标准，按如下流程和规则处理。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答辩前第1次检测：</w:t>
      </w:r>
    </w:p>
    <w:tbl>
      <w:tblPr>
        <w:tblStyle w:val="7"/>
        <w:tblpPr w:leftFromText="45" w:rightFromText="45" w:vertAnchor="text" w:tblpXSpec="center"/>
        <w:tblW w:w="84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2418"/>
        <w:gridCol w:w="35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P%&lt;N≤F%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暂缓通过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可申请第2次检测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N&gt;F%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答辩前第2次检测：</w:t>
      </w:r>
    </w:p>
    <w:tbl>
      <w:tblPr>
        <w:tblStyle w:val="8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N&gt;P%</w:t>
            </w:r>
          </w:p>
        </w:tc>
        <w:tc>
          <w:tcPr>
            <w:tcW w:w="421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答辩后检测：</w:t>
      </w:r>
    </w:p>
    <w:tbl>
      <w:tblPr>
        <w:tblStyle w:val="8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415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415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N&gt;P%</w:t>
            </w:r>
          </w:p>
        </w:tc>
        <w:tc>
          <w:tcPr>
            <w:tcW w:w="415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</w:tr>
    </w:tbl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注：N为毕业论文（设计）文字复制比例。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（二）学院（含研究院等教学单位，以下统称学院）根据自身专业特点制定检测标准P和F数值，检测标准须分别经学院教学指导分委员会和党政联席会讨论确定，学院制定的检测标准是毕业论文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检测是否通过的唯一依据。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检测结果依据为“去除本人已发表文献复制比”，即被检测毕业论文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去除本人以第一作者（或指导教师第一作者，本人第二作者）发表学术成果的文字重合字数后占毕业论文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检测内容的百分比。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（四）学院应及时将毕业论文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检测标准及相关规定告知学生和指导教师。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 组织实施及职责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答辩前检测的范围为所有申请毕业论文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评阅和答辩的学生得毕业论文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，答辩后检测的范围为所有答辩通过的学生得毕业论文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第八条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答辩前毕业论文（设计）检测：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（一）答辩前检测工作由学院负责，教务处为学院设立分账户，根据毕业论文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数分配检测篇数。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（二）学院应指定专人负责本单位毕业论文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检测工作。负责检测的工作人员应保证分账户的安全，严格执行学校相关规定，不得对本单位以外或其他不相关的论文进行检测。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检测前，须经指导教师审核签字同意。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检测：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检测工作由教务处统筹负责。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检测前，须经指导教师审核签字同意，并保证提交的毕业论文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电子版本与纸质版本一致。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（三）学生须在规定时间内向图书馆、档案馆及教务管理系统提交最终版本的毕业论文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电子版。无故逾期不提交毕业论文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者，其毕业论文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毕业论文（设计）检测结果及处理办法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第十条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答辩前毕业论文（设计）检测处理办法：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检测结果为“通过”的，学生可直接参加毕业论文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评阅及答辩。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检测结果为“不通过”或故意规避毕业论文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检测的，学生须对毕业论文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进行认真、必要的修改，下学期方可提出毕业论文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评阅和答辩申请。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（三）每篇毕业论文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最多有2次检测机会。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第十一条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答辩后毕业论文（设计）检测处理办法：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检测结果为“通过”的，当次毕业论文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成绩有效。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成绩无效，学生须对毕业论文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进行认真、必要的修改，下学期方可提出毕业论文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评阅和答辩申请。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（三）凡故意规避毕业论文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检测或存在学术不端行为的，学校将认定当次毕业论文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成绩无效。情节特别严重的，学校将根据有关规定给予取消毕业资格直至开除学籍处分。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（四）每篇毕业论文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仅有1次检测机会。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教务处按年度以适当形式在校内公布毕业论文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（设计）“文字复制比”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检测结果。对答辩后毕业论文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检测结果为“不通过”的，按以下方式处理：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（一）质量约谈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当年度出现1%篇及以上毕业论文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检测结果为“不通过”的，或连续两个年度均出现毕业论文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检测结果为“不通过”的，学校约谈所在学院党政负责人及主管领导。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（二）质量告诫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当年度指导教师指导的2篇及以上毕业论文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检测结果为“不通过”的，或连续两个年度均出现毕业论文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检测结果为“不通过”的，学院须对指导教师告诫1次、对专业负责人约谈1次。取消被告诫教师当年度教学类奖项申报和评选资格。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（三）教学考核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学校将检测结果作为考核学院年度目标任务的内容之一。指导教师指导的毕业论文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出现1篇及以上检测结果为“不通过”的，指导教师当年度教学考核结果不能为“优秀”。</w:t>
      </w:r>
    </w:p>
    <w:p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 附  则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因提交的毕业论文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版本错误造成毕业论文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检测未“通过”的，责任由学生本人承担。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“文字复制比”检测工作人员必须遵守学校保密规定及其他相关规定，严格遵守回避原则。</w:t>
      </w:r>
    </w:p>
    <w:p>
      <w:pPr>
        <w:adjustRightInd w:val="0"/>
        <w:snapToGrid w:val="0"/>
        <w:spacing w:line="540" w:lineRule="exact"/>
        <w:ind w:firstLine="643" w:firstLineChars="200"/>
        <w:jc w:val="both"/>
      </w:pPr>
      <w:r>
        <w:rPr>
          <w:rFonts w:hint="eastAsia" w:ascii="仿宋_GB2312" w:hAnsi="仿宋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本细则由教务处负责解释，学院可根据本办法制定实施细则。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0BE157AC"/>
    <w:rsid w:val="1530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autoRedefine/>
    <w:semiHidden/>
    <w:unhideWhenUsed/>
    <w:qFormat/>
    <w:uiPriority w:val="99"/>
  </w:style>
  <w:style w:type="paragraph" w:styleId="4">
    <w:name w:val="Balloon Text"/>
    <w:basedOn w:val="1"/>
    <w:link w:val="12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1831</Words>
  <Characters>10442</Characters>
  <Lines>87</Lines>
  <Paragraphs>24</Paragraphs>
  <TotalTime>37</TotalTime>
  <ScaleCrop>false</ScaleCrop>
  <LinksUpToDate>false</LinksUpToDate>
  <CharactersWithSpaces>12249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小刀</cp:lastModifiedBy>
  <dcterms:modified xsi:type="dcterms:W3CDTF">2024-04-16T04:35:55Z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8CAFF858EBF049D6893FE9E322C890C9_13</vt:lpwstr>
  </property>
</Properties>
</file>